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1991"/>
        <w:gridCol w:w="1991"/>
        <w:gridCol w:w="1991"/>
      </w:tblGrid>
      <w:tr w:rsidR="002B6390" w:rsidRPr="004D1238" w:rsidTr="006660A4">
        <w:trPr>
          <w:cantSplit/>
        </w:trPr>
        <w:tc>
          <w:tcPr>
            <w:tcW w:w="10227" w:type="dxa"/>
            <w:gridSpan w:val="5"/>
            <w:tcBorders>
              <w:bottom w:val="single" w:sz="6" w:space="0" w:color="auto"/>
            </w:tcBorders>
          </w:tcPr>
          <w:p w:rsidR="002B6390" w:rsidRPr="004D1238" w:rsidRDefault="002B6390" w:rsidP="001B2B64">
            <w:pPr>
              <w:pStyle w:val="1StTabbersichto"/>
            </w:pPr>
            <w:bookmarkStart w:id="0" w:name="_GoBack"/>
            <w:r w:rsidRPr="002B6390">
              <w:rPr>
                <w:b w:val="0"/>
              </w:rPr>
              <w:t>Tabelle 1</w:t>
            </w:r>
            <w:r w:rsidR="001B2B64">
              <w:rPr>
                <w:b w:val="0"/>
              </w:rPr>
              <w:t>2</w:t>
            </w:r>
            <w:r w:rsidRPr="002B6390">
              <w:rPr>
                <w:b w:val="0"/>
              </w:rPr>
              <w:t>.2:</w:t>
            </w:r>
            <w:r w:rsidRPr="002B6390">
              <w:rPr>
                <w:b w:val="0"/>
              </w:rPr>
              <w:tab/>
            </w:r>
            <w:r w:rsidRPr="00F120BA">
              <w:t>Hopfenanbau nach Anbaugebieten</w:t>
            </w:r>
          </w:p>
        </w:tc>
      </w:tr>
      <w:bookmarkEnd w:id="0"/>
      <w:tr w:rsidR="002B6390" w:rsidRPr="004D1238" w:rsidTr="002B6390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390" w:rsidRPr="004D1238" w:rsidRDefault="002B6390" w:rsidP="00904937">
            <w:pPr>
              <w:pStyle w:val="1StTabelleKopf"/>
            </w:pPr>
            <w:r>
              <w:t>Anbaujahr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90" w:rsidRPr="004D1238" w:rsidRDefault="002B6390" w:rsidP="00904937">
            <w:pPr>
              <w:pStyle w:val="1StTabelleKopf"/>
            </w:pPr>
            <w:r w:rsidRPr="002B6390">
              <w:t>Merkmal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90" w:rsidRPr="00585449" w:rsidRDefault="002B6390" w:rsidP="001740E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Anbaugebiet</w:t>
            </w:r>
          </w:p>
          <w:p w:rsidR="002B6390" w:rsidRPr="00585449" w:rsidRDefault="002B6390" w:rsidP="001740E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Hallertau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90" w:rsidRPr="00585449" w:rsidRDefault="002B6390" w:rsidP="001740E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Anbaugebiet</w:t>
            </w:r>
          </w:p>
          <w:p w:rsidR="002B6390" w:rsidRPr="00585449" w:rsidRDefault="002B6390" w:rsidP="001740E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Spalt/Lindau (Tettnang)</w:t>
            </w:r>
            <w:r w:rsidRPr="00585449">
              <w:rPr>
                <w:sz w:val="16"/>
                <w:vertAlign w:val="superscript"/>
              </w:rPr>
              <w:t>1)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6390" w:rsidRPr="004D1238" w:rsidRDefault="002B6390" w:rsidP="00904937">
            <w:pPr>
              <w:pStyle w:val="1StTabelleKopf"/>
            </w:pPr>
            <w:r>
              <w:t>Bayern</w:t>
            </w:r>
          </w:p>
        </w:tc>
      </w:tr>
      <w:tr w:rsidR="002B6390" w:rsidRPr="004D1238" w:rsidTr="002B6390"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1Zeile"/>
            </w:pPr>
            <w:r w:rsidRPr="00585449">
              <w:t>Zahl der Betriebe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:rsidR="002B6390" w:rsidRPr="00585449" w:rsidRDefault="002B6390" w:rsidP="006660A4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585449">
              <w:rPr>
                <w:sz w:val="16"/>
              </w:rPr>
              <w:t>903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:rsidR="002B6390" w:rsidRPr="00585449" w:rsidRDefault="002B6390" w:rsidP="006660A4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585449">
              <w:rPr>
                <w:sz w:val="16"/>
              </w:rPr>
              <w:t>55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:rsidR="002B6390" w:rsidRPr="00585449" w:rsidRDefault="002B6390" w:rsidP="006660A4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585449">
              <w:rPr>
                <w:sz w:val="16"/>
              </w:rPr>
              <w:t>958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886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52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938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  <w:r w:rsidRPr="00585449">
              <w:t>Hopfenfläche in ha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16.081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404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16.485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16.481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415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16.896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  <w:r w:rsidRPr="00585449">
              <w:t>Hopfenfläche je Betrieb in ha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18,6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7,4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17,2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19,2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8,0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18,0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  <w:r w:rsidRPr="00585449">
              <w:t>Fläche der Aromasorten in ha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8.743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346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9.089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8.718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354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9.072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  <w:r w:rsidRPr="00585449">
              <w:t>Fläche der Bittersorten in ha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7.338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44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7.382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7.763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45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7.808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2018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  <w:r w:rsidRPr="00585449">
              <w:t>Erntemenge in t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36.554,8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631,3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37.186,1</w:t>
            </w:r>
          </w:p>
        </w:tc>
      </w:tr>
      <w:tr w:rsidR="002B6390" w:rsidRPr="004D1238" w:rsidTr="002B6390">
        <w:tc>
          <w:tcPr>
            <w:tcW w:w="1844" w:type="dxa"/>
            <w:vAlign w:val="center"/>
          </w:tcPr>
          <w:p w:rsidR="002B6390" w:rsidRPr="00585449" w:rsidRDefault="002B6390" w:rsidP="006660A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2019</w:t>
            </w:r>
            <w:r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2B6390" w:rsidRPr="00585449" w:rsidRDefault="002B6390" w:rsidP="006660A4">
            <w:pPr>
              <w:pStyle w:val="1StTabelle"/>
            </w:pP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41.206,9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705,7</w:t>
            </w:r>
          </w:p>
        </w:tc>
        <w:tc>
          <w:tcPr>
            <w:tcW w:w="1991" w:type="dxa"/>
            <w:vAlign w:val="center"/>
          </w:tcPr>
          <w:p w:rsidR="002B6390" w:rsidRPr="00585449" w:rsidRDefault="002B6390" w:rsidP="006660A4">
            <w:pPr>
              <w:pStyle w:val="1StTabelle"/>
              <w:jc w:val="right"/>
            </w:pPr>
            <w:r w:rsidRPr="00585449">
              <w:t>41.912,6</w:t>
            </w:r>
          </w:p>
        </w:tc>
      </w:tr>
      <w:tr w:rsidR="002B6390" w:rsidRPr="004D1238" w:rsidTr="00BD3DB7">
        <w:tc>
          <w:tcPr>
            <w:tcW w:w="10227" w:type="dxa"/>
            <w:gridSpan w:val="5"/>
          </w:tcPr>
          <w:p w:rsidR="002B6390" w:rsidRPr="00585449" w:rsidRDefault="002B6390" w:rsidP="002B6390">
            <w:pPr>
              <w:pStyle w:val="1StTabelleFu"/>
            </w:pPr>
            <w:r w:rsidRPr="000706F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8EF28" wp14:editId="4CBBB470">
                      <wp:simplePos x="0" y="0"/>
                      <wp:positionH relativeFrom="column">
                        <wp:posOffset>-53893</wp:posOffset>
                      </wp:positionH>
                      <wp:positionV relativeFrom="paragraph">
                        <wp:posOffset>38100</wp:posOffset>
                      </wp:positionV>
                      <wp:extent cx="774065" cy="0"/>
                      <wp:effectExtent l="0" t="0" r="260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3pt" to="5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" strokeweight=".5pt"/>
                  </w:pict>
                </mc:Fallback>
              </mc:AlternateContent>
            </w:r>
            <w:r w:rsidRPr="000706F5">
              <w:rPr>
                <w:vertAlign w:val="superscript"/>
              </w:rPr>
              <w:t>1)</w:t>
            </w:r>
            <w:r w:rsidRPr="000706F5">
              <w:tab/>
            </w:r>
            <w:r w:rsidRPr="002B6390">
              <w:t>Zusammenfassende Darstellung der Hopfenbaugebiete Spalt und Lindau (Tettnang) aus datenschutzrechtlichen Gründen.</w:t>
            </w:r>
          </w:p>
        </w:tc>
      </w:tr>
    </w:tbl>
    <w:p w:rsidR="002B6390" w:rsidRDefault="002B6390"/>
    <w:sectPr w:rsidR="002B6390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B2B64"/>
    <w:rsid w:val="001F6118"/>
    <w:rsid w:val="002463B8"/>
    <w:rsid w:val="002500DE"/>
    <w:rsid w:val="002764A7"/>
    <w:rsid w:val="002B6390"/>
    <w:rsid w:val="003509C4"/>
    <w:rsid w:val="0035677D"/>
    <w:rsid w:val="003A5333"/>
    <w:rsid w:val="00404900"/>
    <w:rsid w:val="00467CD6"/>
    <w:rsid w:val="004E1536"/>
    <w:rsid w:val="0054066B"/>
    <w:rsid w:val="00585449"/>
    <w:rsid w:val="00603E52"/>
    <w:rsid w:val="00616807"/>
    <w:rsid w:val="00626F91"/>
    <w:rsid w:val="006660A4"/>
    <w:rsid w:val="0069353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A216F"/>
    <w:rsid w:val="00F120BA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754-21A6-4590-B9DF-58D3F34B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556</Characters>
  <Application>Microsoft Office Word</Application>
  <DocSecurity>0</DocSecurity>
  <Lines>111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2020-06-03T09:05:00Z</dcterms:created>
  <dcterms:modified xsi:type="dcterms:W3CDTF">2020-06-05T09:55:00Z</dcterms:modified>
</cp:coreProperties>
</file>